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A34761" w14:textId="46A76692"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 kwartał 202</w:t>
      </w:r>
      <w:r w:rsidR="001D0839">
        <w:rPr>
          <w:rFonts w:ascii="Arial" w:hAnsi="Arial" w:cs="Arial"/>
          <w:b/>
          <w:sz w:val="24"/>
          <w:szCs w:val="24"/>
        </w:rPr>
        <w:t>2</w:t>
      </w:r>
      <w:r w:rsidRPr="00C1193B">
        <w:rPr>
          <w:rFonts w:ascii="Arial" w:hAnsi="Arial" w:cs="Arial"/>
          <w:b/>
          <w:sz w:val="24"/>
          <w:szCs w:val="24"/>
        </w:rPr>
        <w:t xml:space="preserve"> roku</w:t>
      </w:r>
    </w:p>
    <w:p w14:paraId="7DF65509" w14:textId="77777777"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7086"/>
      </w:tblGrid>
      <w:tr w:rsidR="00E70E2A" w:rsidRPr="00C1193B" w14:paraId="3D806B3F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2943A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Tytuł 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695DF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EB7775">
              <w:rPr>
                <w:rFonts w:cstheme="minorHAnsi"/>
              </w:rPr>
              <w:t>KRONIK@ - Krajowe Repozytorium Obiektów Nauki i Kultury</w:t>
            </w:r>
          </w:p>
        </w:tc>
      </w:tr>
      <w:tr w:rsidR="00E70E2A" w:rsidRPr="00C1193B" w14:paraId="71661775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9F248F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Wnioskodawca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4A3F2B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Minister Cyfryzacji</w:t>
            </w:r>
          </w:p>
        </w:tc>
      </w:tr>
      <w:tr w:rsidR="00E70E2A" w:rsidRPr="00C1193B" w14:paraId="7EACE1E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9ED53E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Beneficjent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7A18A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Kancelaria Prezesa Rady Ministrów</w:t>
            </w:r>
            <w:r w:rsidRPr="00EB7775">
              <w:rPr>
                <w:rFonts w:cstheme="minorHAnsi"/>
                <w:color w:val="2C2D2D"/>
              </w:rPr>
              <w:br/>
            </w:r>
          </w:p>
        </w:tc>
      </w:tr>
      <w:tr w:rsidR="00E70E2A" w:rsidRPr="00C1193B" w14:paraId="392EFD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6352A7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Partnerzy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6B4B4" w14:textId="77777777" w:rsidR="00E70E2A" w:rsidRPr="00EB7775" w:rsidRDefault="009C0459" w:rsidP="005F6A47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EB7775">
              <w:rPr>
                <w:rFonts w:cstheme="minorHAnsi"/>
                <w:color w:val="000000" w:themeColor="text1"/>
              </w:rPr>
              <w:t>-</w:t>
            </w:r>
          </w:p>
        </w:tc>
      </w:tr>
      <w:tr w:rsidR="00E70E2A" w:rsidRPr="00C1193B" w14:paraId="2EE4B350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B8A813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Źródło finansowania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14D2B7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14:paraId="6040A15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FCF38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Całkowity koszt </w:t>
            </w:r>
          </w:p>
          <w:p w14:paraId="577D51F0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BD3FAC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14:paraId="69FB4587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7B84F7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Całkowity koszt projektu - wydatki kwalifikowalne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8CE32" w14:textId="77777777"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14:paraId="43CA588E" w14:textId="77777777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7A7456D" w14:textId="77777777"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Okres realizacji </w:t>
            </w:r>
          </w:p>
          <w:p w14:paraId="171F4A54" w14:textId="77777777"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73494A" w14:textId="63349172" w:rsidR="00E70E2A" w:rsidRPr="00EB7775" w:rsidRDefault="0003661C" w:rsidP="005F6A47">
            <w:pPr>
              <w:spacing w:after="0"/>
              <w:rPr>
                <w:rFonts w:cstheme="minorHAnsi"/>
                <w:i/>
              </w:rPr>
            </w:pPr>
            <w:r w:rsidRPr="00EB7775">
              <w:rPr>
                <w:rFonts w:cstheme="minorHAnsi"/>
              </w:rPr>
              <w:t xml:space="preserve">7.05.2018 </w:t>
            </w:r>
            <w:r w:rsidRPr="00E00AD5">
              <w:rPr>
                <w:rFonts w:cstheme="minorHAnsi"/>
                <w:color w:val="000000" w:themeColor="text1"/>
              </w:rPr>
              <w:t>- 3</w:t>
            </w:r>
            <w:r w:rsidR="00DE6812">
              <w:rPr>
                <w:rFonts w:cstheme="minorHAnsi"/>
                <w:color w:val="000000" w:themeColor="text1"/>
              </w:rPr>
              <w:t>0</w:t>
            </w:r>
            <w:r w:rsidRPr="00E00AD5">
              <w:rPr>
                <w:rFonts w:cstheme="minorHAnsi"/>
                <w:color w:val="000000" w:themeColor="text1"/>
              </w:rPr>
              <w:t>.0</w:t>
            </w:r>
            <w:r w:rsidR="00DE6812">
              <w:rPr>
                <w:rFonts w:cstheme="minorHAnsi"/>
                <w:color w:val="000000" w:themeColor="text1"/>
              </w:rPr>
              <w:t>6</w:t>
            </w:r>
            <w:r w:rsidRPr="00E00AD5">
              <w:rPr>
                <w:rFonts w:cstheme="minorHAnsi"/>
                <w:color w:val="000000" w:themeColor="text1"/>
              </w:rPr>
              <w:t>.2022 (Aneks</w:t>
            </w:r>
            <w:r w:rsidR="00C7333D">
              <w:rPr>
                <w:rFonts w:cstheme="minorHAnsi"/>
                <w:color w:val="000000" w:themeColor="text1"/>
              </w:rPr>
              <w:t xml:space="preserve"> nr 10</w:t>
            </w:r>
            <w:r w:rsidRPr="00E00AD5">
              <w:rPr>
                <w:rFonts w:cstheme="minorHAnsi"/>
                <w:color w:val="000000" w:themeColor="text1"/>
              </w:rPr>
              <w:t xml:space="preserve"> z CPPC z dn. </w:t>
            </w:r>
            <w:r w:rsidR="00DE6812">
              <w:rPr>
                <w:rFonts w:cstheme="minorHAnsi"/>
                <w:color w:val="000000" w:themeColor="text1"/>
              </w:rPr>
              <w:t>24</w:t>
            </w:r>
            <w:r w:rsidRPr="00E00AD5">
              <w:rPr>
                <w:rFonts w:cstheme="minorHAnsi"/>
                <w:color w:val="000000" w:themeColor="text1"/>
              </w:rPr>
              <w:t>.</w:t>
            </w:r>
            <w:r w:rsidR="00DE6812">
              <w:rPr>
                <w:rFonts w:cstheme="minorHAnsi"/>
                <w:color w:val="000000" w:themeColor="text1"/>
              </w:rPr>
              <w:t>03</w:t>
            </w:r>
            <w:r w:rsidR="00E70E2A" w:rsidRPr="00E00AD5">
              <w:rPr>
                <w:rFonts w:cstheme="minorHAnsi"/>
                <w:color w:val="000000" w:themeColor="text1"/>
              </w:rPr>
              <w:t>.202</w:t>
            </w:r>
            <w:r w:rsidR="00DE6812">
              <w:rPr>
                <w:rFonts w:cstheme="minorHAnsi"/>
                <w:color w:val="000000" w:themeColor="text1"/>
              </w:rPr>
              <w:t>2</w:t>
            </w:r>
            <w:r w:rsidR="00E70E2A" w:rsidRPr="00E00AD5">
              <w:rPr>
                <w:rFonts w:cstheme="minorHAnsi"/>
                <w:color w:val="000000" w:themeColor="text1"/>
              </w:rPr>
              <w:t xml:space="preserve"> r.)</w:t>
            </w:r>
          </w:p>
          <w:p w14:paraId="2FCF6E61" w14:textId="77777777" w:rsidR="00E70E2A" w:rsidRPr="00EB7775" w:rsidRDefault="00E70E2A" w:rsidP="005F6A47">
            <w:pPr>
              <w:spacing w:after="0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Pierwotna data zakończenia projektu - 6.05.2021</w:t>
            </w:r>
          </w:p>
        </w:tc>
      </w:tr>
    </w:tbl>
    <w:p w14:paraId="44B406D8" w14:textId="77777777" w:rsidR="00E70E2A" w:rsidRPr="00C1193B" w:rsidRDefault="00E70E2A" w:rsidP="00E70E2A">
      <w:pPr>
        <w:rPr>
          <w:rFonts w:ascii="Arial" w:hAnsi="Arial" w:cs="Arial"/>
        </w:rPr>
      </w:pPr>
    </w:p>
    <w:p w14:paraId="49775C58" w14:textId="77777777"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14:paraId="031E6793" w14:textId="77777777"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14:paraId="40783071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14:paraId="43505DDA" w14:textId="77777777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DE7482D" w14:textId="77777777"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CC8D120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F0B65E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14:paraId="62FC06EC" w14:textId="77777777" w:rsidTr="005C6C73">
        <w:tc>
          <w:tcPr>
            <w:tcW w:w="2972" w:type="dxa"/>
          </w:tcPr>
          <w:p w14:paraId="7D2D4A5C" w14:textId="74F386EF" w:rsidR="00E70E2A" w:rsidRPr="005C6C73" w:rsidRDefault="003617CB" w:rsidP="005F6A47">
            <w:pPr>
              <w:rPr>
                <w:rFonts w:cstheme="minorHAnsi"/>
                <w:color w:val="0070C0"/>
                <w:sz w:val="18"/>
                <w:szCs w:val="20"/>
                <w:highlight w:val="yellow"/>
              </w:rPr>
            </w:pPr>
            <w:r>
              <w:t>94 %</w:t>
            </w:r>
          </w:p>
        </w:tc>
        <w:tc>
          <w:tcPr>
            <w:tcW w:w="3260" w:type="dxa"/>
            <w:shd w:val="clear" w:color="auto" w:fill="auto"/>
          </w:tcPr>
          <w:p w14:paraId="04174BDB" w14:textId="77777777" w:rsidR="003617CB" w:rsidRDefault="003617CB" w:rsidP="003617CB">
            <w:pPr>
              <w:pStyle w:val="Akapitzlist"/>
              <w:numPr>
                <w:ilvl w:val="0"/>
                <w:numId w:val="5"/>
              </w:numPr>
            </w:pPr>
            <w:r>
              <w:t xml:space="preserve">71,07 % tj. kwota </w:t>
            </w:r>
          </w:p>
          <w:p w14:paraId="0CC5C250" w14:textId="77777777" w:rsidR="003617CB" w:rsidRDefault="003617CB" w:rsidP="003617CB">
            <w:pPr>
              <w:pStyle w:val="Akapitzlist"/>
            </w:pPr>
            <w:r>
              <w:t>14 664 683,60 PLN</w:t>
            </w:r>
          </w:p>
          <w:p w14:paraId="19BC41EB" w14:textId="77777777" w:rsidR="003617CB" w:rsidRDefault="003617CB" w:rsidP="003617CB">
            <w:pPr>
              <w:pStyle w:val="Akapitzlist"/>
              <w:numPr>
                <w:ilvl w:val="0"/>
                <w:numId w:val="5"/>
              </w:numPr>
            </w:pPr>
            <w:r>
              <w:t>70,23 % tj. kwota 14 491 293,55 PLN</w:t>
            </w:r>
          </w:p>
          <w:p w14:paraId="53D3D3DB" w14:textId="0900C6A4" w:rsidR="00E70E2A" w:rsidRPr="008D01A1" w:rsidRDefault="003617CB" w:rsidP="003617CB">
            <w:pPr>
              <w:pStyle w:val="Akapitzlist"/>
              <w:numPr>
                <w:ilvl w:val="0"/>
                <w:numId w:val="5"/>
              </w:numPr>
            </w:pPr>
            <w:r>
              <w:t>nie dotyczy</w:t>
            </w:r>
          </w:p>
        </w:tc>
        <w:tc>
          <w:tcPr>
            <w:tcW w:w="3402" w:type="dxa"/>
          </w:tcPr>
          <w:p w14:paraId="41A3F5D2" w14:textId="77777777" w:rsidR="00C26F81" w:rsidRDefault="003617CB" w:rsidP="002D40BC">
            <w:r>
              <w:t>95,31 % tj. kwota 19 666 084,16 PLN</w:t>
            </w:r>
          </w:p>
          <w:p w14:paraId="00735121" w14:textId="5D16DCFC" w:rsidR="00E70E2A" w:rsidRPr="00CB3C26" w:rsidRDefault="00C26F81" w:rsidP="002D40BC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C26F81">
              <w:t>Zmiana kwoty zaangażowania wynika z aktualizacji planowanych do poniesienia wydatków w projekcie do 30.06.2022 r. oraz wykazanymi oszczędnościami w aktualnym harmonogramie rzeczowo-finansowym, który zostanie złożony do CPPC wraz z wnioskiem o płatność za I kwartał 2022</w:t>
            </w:r>
          </w:p>
        </w:tc>
      </w:tr>
    </w:tbl>
    <w:p w14:paraId="79A284D1" w14:textId="77777777"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ACE3F9B" w14:textId="77777777"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14:paraId="056B1CEA" w14:textId="77777777"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43"/>
        <w:gridCol w:w="1724"/>
        <w:gridCol w:w="1509"/>
        <w:gridCol w:w="1937"/>
        <w:gridCol w:w="2126"/>
      </w:tblGrid>
      <w:tr w:rsidR="00E70E2A" w:rsidRPr="00C1193B" w14:paraId="6AB0FBDB" w14:textId="77777777" w:rsidTr="00C26F81">
        <w:trPr>
          <w:tblHeader/>
        </w:trPr>
        <w:tc>
          <w:tcPr>
            <w:tcW w:w="2343" w:type="dxa"/>
            <w:shd w:val="clear" w:color="auto" w:fill="D0CECE" w:themeFill="background2" w:themeFillShade="E6"/>
          </w:tcPr>
          <w:p w14:paraId="7940FD5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450079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09" w:type="dxa"/>
            <w:shd w:val="clear" w:color="auto" w:fill="D0CECE" w:themeFill="background2" w:themeFillShade="E6"/>
          </w:tcPr>
          <w:p w14:paraId="6B300F9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37" w:type="dxa"/>
            <w:shd w:val="clear" w:color="auto" w:fill="D0CECE" w:themeFill="background2" w:themeFillShade="E6"/>
          </w:tcPr>
          <w:p w14:paraId="2DD270A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D380F5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14:paraId="28AE8E58" w14:textId="77777777" w:rsidTr="00C26F81">
        <w:tc>
          <w:tcPr>
            <w:tcW w:w="2343" w:type="dxa"/>
          </w:tcPr>
          <w:p w14:paraId="22BAE198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404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58490A7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937" w:type="dxa"/>
          </w:tcPr>
          <w:p w14:paraId="0523432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4D34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14:paraId="1F6AFA5A" w14:textId="77777777" w:rsidTr="00C26F81">
        <w:tc>
          <w:tcPr>
            <w:tcW w:w="2343" w:type="dxa"/>
          </w:tcPr>
          <w:p w14:paraId="4B979B3D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41C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20869E13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937" w:type="dxa"/>
          </w:tcPr>
          <w:p w14:paraId="676AF6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14:paraId="0D76BE30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14:paraId="2A66B8EB" w14:textId="77777777" w:rsidTr="00C26F81">
        <w:tc>
          <w:tcPr>
            <w:tcW w:w="2343" w:type="dxa"/>
          </w:tcPr>
          <w:p w14:paraId="66130A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4F61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9112BF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937" w:type="dxa"/>
          </w:tcPr>
          <w:p w14:paraId="62CF8BC0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4F311E5D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14:paraId="1E2BBA53" w14:textId="77777777" w:rsidTr="00C26F81">
        <w:tc>
          <w:tcPr>
            <w:tcW w:w="2343" w:type="dxa"/>
          </w:tcPr>
          <w:p w14:paraId="41D0CEC3" w14:textId="77777777"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DBF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D3A82DE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937" w:type="dxa"/>
          </w:tcPr>
          <w:p w14:paraId="08BB621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17AE8B89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14:paraId="05819272" w14:textId="77777777" w:rsidTr="00C26F81">
        <w:tc>
          <w:tcPr>
            <w:tcW w:w="2343" w:type="dxa"/>
          </w:tcPr>
          <w:p w14:paraId="0E97B46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1B5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0FC2670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937" w:type="dxa"/>
          </w:tcPr>
          <w:p w14:paraId="2FF78C9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6D8C81B" w14:textId="77777777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2.09.2019. Nie </w:t>
            </w: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przekroczono daty punktu krytycznego.</w:t>
            </w:r>
          </w:p>
        </w:tc>
      </w:tr>
      <w:tr w:rsidR="00E70E2A" w:rsidRPr="00C1193B" w14:paraId="1CFEDE6C" w14:textId="77777777" w:rsidTr="00C26F81">
        <w:tc>
          <w:tcPr>
            <w:tcW w:w="2343" w:type="dxa"/>
          </w:tcPr>
          <w:p w14:paraId="56DBE2B3" w14:textId="77777777"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lastRenderedPageBreak/>
              <w:t>KM 6. Zakończenie wsparcia technicznego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CB3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0344BCD3" w14:textId="77777777"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937" w:type="dxa"/>
          </w:tcPr>
          <w:p w14:paraId="7F0C94D5" w14:textId="77777777"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14:paraId="20B6B9B3" w14:textId="77777777"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14:paraId="3E235707" w14:textId="77777777" w:rsidTr="00C26F81">
        <w:tc>
          <w:tcPr>
            <w:tcW w:w="2343" w:type="dxa"/>
          </w:tcPr>
          <w:p w14:paraId="78A79944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7. Uruchomienie portalu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FC33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09" w:type="dxa"/>
          </w:tcPr>
          <w:p w14:paraId="01E0ABB0" w14:textId="064461A5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</w:t>
            </w:r>
            <w:r w:rsidR="00DE6812">
              <w:rPr>
                <w:rFonts w:ascii="Arial" w:hAnsi="Arial" w:cs="Arial"/>
                <w:sz w:val="18"/>
                <w:szCs w:val="20"/>
              </w:rPr>
              <w:t>6</w:t>
            </w:r>
            <w:r w:rsidRPr="00C1193B">
              <w:rPr>
                <w:rFonts w:ascii="Arial" w:hAnsi="Arial" w:cs="Arial"/>
                <w:sz w:val="18"/>
                <w:szCs w:val="20"/>
              </w:rPr>
              <w:t>.202</w:t>
            </w:r>
            <w:r w:rsidR="00DE6812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232733D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31FC7BBA" w14:textId="5660C4DB" w:rsidR="00C7333D" w:rsidRPr="00C7333D" w:rsidRDefault="00C7333D" w:rsidP="00C26F81">
            <w:pPr>
              <w:spacing w:before="120" w:after="24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trakcie realizacji. 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miana terminu planowanego osiągnięcia </w:t>
            </w:r>
            <w:commentRangeStart w:id="0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KM </w:t>
            </w:r>
            <w:commentRangeEnd w:id="0"/>
            <w:r w:rsidR="001D0839">
              <w:rPr>
                <w:rFonts w:ascii="Arial" w:hAnsi="Arial" w:cs="Arial"/>
                <w:color w:val="000000" w:themeColor="text1"/>
                <w:sz w:val="18"/>
                <w:szCs w:val="20"/>
              </w:rPr>
              <w:t>na podstawie podpisanego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CPPC aneksu nr 10 wydłużającego projekt do 30.06.2022. 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związku z 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o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późnienie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m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spowodowa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nym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przedłużeniem procedury przetargowej na Hosting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oprzedni KP wystąpił w marcu 2021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r. do CPP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zgodę na wydłużenie terminu osiągnięcia KM 7 i wprowadzenie tej zmian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 aneksem nr 6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CPPC 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wtedy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nie wyraziło na to zgody. KM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miał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18"/>
              </w:rPr>
              <w:t>ć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zrealizowany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opóźnieniem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uruchomieniu portalu na środowisku docelowym, które ma zapewnić Wykonawca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umowy Hostingowej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Obecnie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uruchomienie portalu </w:t>
            </w:r>
            <w:r w:rsidR="00066B1E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planowane jest na I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I kwartał 2022</w:t>
            </w:r>
            <w:r w:rsidR="00D47A3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E70E2A" w:rsidRPr="00C1193B" w14:paraId="6528B6DE" w14:textId="77777777" w:rsidTr="00C26F81">
        <w:tc>
          <w:tcPr>
            <w:tcW w:w="2343" w:type="dxa"/>
          </w:tcPr>
          <w:p w14:paraId="6CCE73D1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15AE" w14:textId="5BDDC5E6"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 KPI 5 2 538 TB</w:t>
            </w:r>
          </w:p>
        </w:tc>
        <w:tc>
          <w:tcPr>
            <w:tcW w:w="1509" w:type="dxa"/>
          </w:tcPr>
          <w:p w14:paraId="33D29EAF" w14:textId="65FDF7E5" w:rsidR="00E70E2A" w:rsidRPr="00C1193B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C7333D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1937" w:type="dxa"/>
          </w:tcPr>
          <w:p w14:paraId="321E7DA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6C881CF" w14:textId="784747AE" w:rsidR="00E70E2A" w:rsidRPr="00E00AD5" w:rsidRDefault="0003661C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</w:t>
            </w:r>
            <w:r w:rsidR="00C7333D">
              <w:rPr>
                <w:rFonts w:ascii="Arial" w:hAnsi="Arial" w:cs="Arial"/>
                <w:color w:val="000000" w:themeColor="text1"/>
                <w:sz w:val="18"/>
                <w:szCs w:val="20"/>
              </w:rPr>
              <w:t>. Zmiana terminu planowanego osiągnięcia KM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 podstawie podpisanego</w:t>
            </w:r>
            <w:r w:rsidR="00C7333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CPPC aneksu nr 10 wydłużającego projekt do 30.06.2022.</w:t>
            </w:r>
          </w:p>
        </w:tc>
      </w:tr>
      <w:tr w:rsidR="00E70E2A" w:rsidRPr="00C1193B" w14:paraId="222FBA91" w14:textId="77777777" w:rsidTr="00C26F81">
        <w:tc>
          <w:tcPr>
            <w:tcW w:w="2343" w:type="dxa"/>
          </w:tcPr>
          <w:p w14:paraId="65FC463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F0846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338D19CE" w14:textId="72AA384C" w:rsidR="00E70E2A" w:rsidRPr="00C1193B" w:rsidRDefault="00C7333D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4723CC6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36559B8" w14:textId="5A59AE40" w:rsidR="00E70E2A" w:rsidRPr="00C1193B" w:rsidRDefault="00C7333D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Zmiana terminu planowanego osiągnięcia KM 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na podstawie podpisanego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CPPC aneksu nr 10 wydłużającego projekt do 30.06.2022.</w:t>
            </w:r>
          </w:p>
        </w:tc>
      </w:tr>
      <w:tr w:rsidR="00E70E2A" w:rsidRPr="00C1193B" w14:paraId="255C1D6D" w14:textId="77777777" w:rsidTr="00C26F81">
        <w:tc>
          <w:tcPr>
            <w:tcW w:w="2343" w:type="dxa"/>
          </w:tcPr>
          <w:p w14:paraId="1C15148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10. Zakończenie działań promocyjnych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186A9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09" w:type="dxa"/>
          </w:tcPr>
          <w:p w14:paraId="6E57F8C1" w14:textId="069E2A57" w:rsidR="00E70E2A" w:rsidRPr="00C1193B" w:rsidRDefault="00C7333D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937" w:type="dxa"/>
          </w:tcPr>
          <w:p w14:paraId="3FEEEB9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BD0D3DA" w14:textId="21C5AB55" w:rsidR="00E70E2A" w:rsidRPr="00C1193B" w:rsidRDefault="00C7333D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Zmiana terminu planowanego osiągnięcia KM </w:t>
            </w:r>
            <w:r w:rsidR="001D3E26">
              <w:rPr>
                <w:rFonts w:ascii="Arial" w:hAnsi="Arial" w:cs="Arial"/>
                <w:color w:val="000000" w:themeColor="text1"/>
                <w:sz w:val="18"/>
                <w:szCs w:val="20"/>
              </w:rPr>
              <w:t>na podstawie podpisanego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CPPC aneksu nr 10 wydłużającego projekt do 30.06.2022.</w:t>
            </w:r>
          </w:p>
        </w:tc>
      </w:tr>
    </w:tbl>
    <w:p w14:paraId="59E1A029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14:paraId="09880383" w14:textId="77777777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FCA1C4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7AB083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767D418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5405E95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794702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4A5D92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14:paraId="244D7E68" w14:textId="77777777" w:rsidTr="005F6A47">
        <w:tc>
          <w:tcPr>
            <w:tcW w:w="2545" w:type="dxa"/>
          </w:tcPr>
          <w:p w14:paraId="41FB77D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6732557A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10618F7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31F887EF" w14:textId="491FFF33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2683AB40" w14:textId="7BB86A9B" w:rsidR="00E70E2A" w:rsidRPr="00E00AD5" w:rsidRDefault="00E70E2A" w:rsidP="00C26F81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.2022) </w:t>
            </w:r>
          </w:p>
        </w:tc>
      </w:tr>
      <w:tr w:rsidR="00E70E2A" w:rsidRPr="00C1193B" w14:paraId="754D85E8" w14:textId="77777777" w:rsidTr="005F6A47">
        <w:tc>
          <w:tcPr>
            <w:tcW w:w="2545" w:type="dxa"/>
          </w:tcPr>
          <w:p w14:paraId="4BF7328C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55B0BBC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70DE1432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12B9A765" w14:textId="739215C2"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77579073" w14:textId="7762F944" w:rsidR="00E70E2A" w:rsidRPr="00E00AD5" w:rsidRDefault="00E70E2A" w:rsidP="00C26F81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10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bookmarkStart w:id="1" w:name="_GoBack"/>
            <w:bookmarkEnd w:id="1"/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.2022) </w:t>
            </w:r>
          </w:p>
        </w:tc>
      </w:tr>
      <w:tr w:rsidR="00E70E2A" w:rsidRPr="00C1193B" w14:paraId="0565346F" w14:textId="77777777" w:rsidTr="005F6A47">
        <w:tc>
          <w:tcPr>
            <w:tcW w:w="2545" w:type="dxa"/>
          </w:tcPr>
          <w:p w14:paraId="3A17187B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2313029F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B5862BB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78D07905" w14:textId="77777777"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70BFB3E4" w14:textId="77777777" w:rsidR="00E70E2A" w:rsidRPr="00C1193B" w:rsidRDefault="00E70E2A" w:rsidP="003617C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>- Osiągnięto 31.01.2021 r. - Opóźnienie wynika ze zbyt późnego dostarczenia zespołu programistycznego z bodylesing. Dodatkowo, zespół, który miał pracować wspólnie w jednej lokalizacji z powodu wybuchu 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E70E2A" w:rsidRPr="00C1193B" w14:paraId="3672F9F2" w14:textId="77777777" w:rsidTr="005F6A47">
        <w:tc>
          <w:tcPr>
            <w:tcW w:w="2545" w:type="dxa"/>
          </w:tcPr>
          <w:p w14:paraId="16992A84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D00D98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A5E62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B7A9B3E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A25AC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7481B2D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EB81DC2" w14:textId="0A0161E4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685A61FB" w14:textId="77777777" w:rsidR="00E70E2A" w:rsidRPr="00E00AD5" w:rsidRDefault="00E70E2A" w:rsidP="00C26F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6DD776" w14:textId="6E6925B6" w:rsidR="00E70E2A" w:rsidRPr="00E00AD5" w:rsidRDefault="00E70E2A" w:rsidP="00C26F8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06EFBEAF" w14:textId="77777777" w:rsidR="00E70E2A" w:rsidRPr="00E00AD5" w:rsidRDefault="00E70E2A" w:rsidP="003617C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70E2A" w:rsidRPr="00C1193B" w14:paraId="02EFF5EB" w14:textId="77777777" w:rsidTr="005F6A47">
        <w:tc>
          <w:tcPr>
            <w:tcW w:w="2545" w:type="dxa"/>
          </w:tcPr>
          <w:p w14:paraId="73EB7F7E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Liczba pobrań/odtworzeń dokumentów </w:t>
            </w: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zawierających informacje sektora publicznego</w:t>
            </w:r>
          </w:p>
        </w:tc>
        <w:tc>
          <w:tcPr>
            <w:tcW w:w="1278" w:type="dxa"/>
          </w:tcPr>
          <w:p w14:paraId="2C870906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371F595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55E73D21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320F953" w14:textId="77777777"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4309B2EE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6221CC4" w14:textId="52D8A590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45B66FE8" w14:textId="031D73EE" w:rsidR="00E70E2A" w:rsidRPr="00E00AD5" w:rsidRDefault="00E70E2A" w:rsidP="00C26F81">
            <w:pPr>
              <w:spacing w:before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</w:tr>
      <w:tr w:rsidR="00E70E2A" w:rsidRPr="00C1193B" w14:paraId="2C55F212" w14:textId="77777777" w:rsidTr="005F6A47">
        <w:tc>
          <w:tcPr>
            <w:tcW w:w="2545" w:type="dxa"/>
          </w:tcPr>
          <w:p w14:paraId="4AB9FBA8" w14:textId="77777777"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BF83A38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DE4D2F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5743F1EB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64A4A926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1BF9FC69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6055074F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39064042" w14:textId="1E29D60A"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</w:tc>
        <w:tc>
          <w:tcPr>
            <w:tcW w:w="2268" w:type="dxa"/>
          </w:tcPr>
          <w:p w14:paraId="3FDC06A8" w14:textId="77777777" w:rsidR="00E70E2A" w:rsidRPr="00E00AD5" w:rsidRDefault="00E70E2A" w:rsidP="003617C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6F83D56" w14:textId="04C47787" w:rsidR="00E70E2A" w:rsidRPr="00E00AD5" w:rsidRDefault="00E70E2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 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14:paraId="783470AE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14:paraId="4C0D4C1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ED3C2B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CE2AC7E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F0043D3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836DEC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68004B63" w14:textId="77777777" w:rsidTr="005F6A47">
        <w:tc>
          <w:tcPr>
            <w:tcW w:w="2937" w:type="dxa"/>
          </w:tcPr>
          <w:p w14:paraId="352BDE80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14:paraId="6F03A26C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797B05D6" w14:textId="77777777"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7F9BE5A3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AC5AB02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C3E2AE5" w14:textId="77777777"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E58F7A5" w14:textId="77777777"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14:paraId="523728C0" w14:textId="77777777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621573F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81CF1B7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971CD8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E76C6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14:paraId="20E9D524" w14:textId="77777777" w:rsidTr="005F6A47">
        <w:tc>
          <w:tcPr>
            <w:tcW w:w="2937" w:type="dxa"/>
          </w:tcPr>
          <w:p w14:paraId="29232C7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56D751F" w14:textId="002A16DE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  <w:p w14:paraId="13330054" w14:textId="77777777"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6A056BB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02C10F5" w14:textId="581FB018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</w:p>
          <w:p w14:paraId="65937CB7" w14:textId="77777777"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6624601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po osiągnięciu kamienia „Odbiór projektu technicznego rozwiązania” i</w:t>
            </w:r>
          </w:p>
          <w:p w14:paraId="1C87CDAB" w14:textId="77777777"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 realizacją kamienia „Zakończenie migracji zasobów”.</w:t>
            </w:r>
          </w:p>
        </w:tc>
      </w:tr>
    </w:tbl>
    <w:p w14:paraId="45A28C83" w14:textId="77777777"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14:paraId="6DBC2E30" w14:textId="77777777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F54D8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8AC79B4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BC5CEAD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E9685FC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F9EE4CB" w14:textId="77777777"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14:paraId="5A63FC58" w14:textId="77777777" w:rsidTr="005F6A47">
        <w:tc>
          <w:tcPr>
            <w:tcW w:w="2547" w:type="dxa"/>
          </w:tcPr>
          <w:p w14:paraId="6744DD99" w14:textId="77777777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57F621A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14:paraId="1875F32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7FFE5085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14:paraId="14EEB4A5" w14:textId="77777777" w:rsidTr="005F6A47">
        <w:tc>
          <w:tcPr>
            <w:tcW w:w="2547" w:type="dxa"/>
          </w:tcPr>
          <w:p w14:paraId="48D4A9E3" w14:textId="77777777"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1865537" w14:textId="3CA28DFF"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</w:t>
            </w:r>
            <w:r w:rsidR="00654C1A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6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Aneks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nr 10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wydłużający projekt do 3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.0</w:t>
            </w:r>
            <w:r w:rsidR="00654C1A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654C1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14:paraId="397FDA1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8DED6F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7EA5C9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2494E2BA" w14:textId="77777777"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14:paraId="7ECAC9AA" w14:textId="77777777"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86"/>
        <w:gridCol w:w="1572"/>
        <w:gridCol w:w="2294"/>
        <w:gridCol w:w="3446"/>
      </w:tblGrid>
      <w:tr w:rsidR="00E70E2A" w:rsidRPr="00C1193B" w14:paraId="48D2CF60" w14:textId="77777777" w:rsidTr="005F6A4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4A785A1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9BE4987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417AA4B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5AECC873" w14:textId="77777777"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14:paraId="76409424" w14:textId="77777777" w:rsidTr="005F6A47">
        <w:tc>
          <w:tcPr>
            <w:tcW w:w="2268" w:type="dxa"/>
          </w:tcPr>
          <w:p w14:paraId="5A6A696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 (COVID-19) - ryzyko wstrzymania prac wytwórczych, integracji, migracji</w:t>
            </w:r>
          </w:p>
        </w:tc>
        <w:tc>
          <w:tcPr>
            <w:tcW w:w="1418" w:type="dxa"/>
          </w:tcPr>
          <w:p w14:paraId="3F5B1C0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54E9FB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5453112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14:paraId="11C5791C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14:paraId="5FC3D148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14:paraId="210D222C" w14:textId="77777777" w:rsidTr="005F6A47">
        <w:tc>
          <w:tcPr>
            <w:tcW w:w="2268" w:type="dxa"/>
          </w:tcPr>
          <w:p w14:paraId="268012E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Zwiększona kwota na Wykonawcę Wsparcia Technicznego</w:t>
            </w:r>
          </w:p>
        </w:tc>
        <w:tc>
          <w:tcPr>
            <w:tcW w:w="1418" w:type="dxa"/>
          </w:tcPr>
          <w:p w14:paraId="1A610780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17697119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43249D6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Wystąpiono do Wykonawcy o przesłanie szczegółowych analiz do uzasadnienia wniosku o zwiększenie wynagrodzenia. </w:t>
            </w:r>
          </w:p>
          <w:p w14:paraId="6EB66F2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Decyzja o rezygnacji z podpisania aneksu zwiększającego wynagrodzenie Wykonawcy. Uzasadnienie zostało odrzucone. Prace w ramach umowy zostały wykonane w ramach pierwotnego wynagrodzenia. </w:t>
            </w:r>
          </w:p>
          <w:p w14:paraId="67D2E7A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Wykonanie prac w ramach umowy – ryzyko zamknięte.</w:t>
            </w:r>
          </w:p>
        </w:tc>
      </w:tr>
      <w:tr w:rsidR="00E70E2A" w:rsidRPr="00C1193B" w14:paraId="2CC2D0C0" w14:textId="77777777" w:rsidTr="005F6A47">
        <w:tc>
          <w:tcPr>
            <w:tcW w:w="2268" w:type="dxa"/>
          </w:tcPr>
          <w:p w14:paraId="0FE4B02E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Niska wydajność zespołu DEV - Białystok</w:t>
            </w:r>
          </w:p>
        </w:tc>
        <w:tc>
          <w:tcPr>
            <w:tcW w:w="1418" w:type="dxa"/>
          </w:tcPr>
          <w:p w14:paraId="53477F0B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78E1BAE2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6CB73E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Działanie: Określenie podziału pomiędzy rolą Product Ownera (PO) a Kierownika Technicznego.</w:t>
            </w:r>
          </w:p>
          <w:p w14:paraId="462A2BE0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Efekty: Współpraca Scrum Mastera z PO i włączenie PO do daily. Próba reorgan</w:t>
            </w:r>
            <w:r>
              <w:rPr>
                <w:rFonts w:ascii="Arial" w:hAnsi="Arial" w:cs="Arial"/>
                <w:sz w:val="18"/>
                <w:szCs w:val="18"/>
              </w:rPr>
              <w:t>izacji raportowania czasu pracy.</w:t>
            </w:r>
          </w:p>
          <w:p w14:paraId="5AE20ABD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Zakończenie pracy przez zespół DEV-Białystok – ryzyko zamknięte.</w:t>
            </w:r>
          </w:p>
        </w:tc>
      </w:tr>
      <w:tr w:rsidR="00E70E2A" w:rsidRPr="00C1193B" w14:paraId="1DC14B7E" w14:textId="77777777" w:rsidTr="005F6A47">
        <w:tc>
          <w:tcPr>
            <w:tcW w:w="2268" w:type="dxa"/>
          </w:tcPr>
          <w:p w14:paraId="48CF124B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4AFD9818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DC0AA2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634DA244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Określenie w harmonogramie max czasu na proces wyboru dostawcy; rzetelnie przemyślane oczekiwania odnośnie do zakresu.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</w:t>
            </w:r>
          </w:p>
          <w:p w14:paraId="3456F8C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Planowanie odpowiednich rezerw czasowych dla postępowań przetargowych. Opracowywanie dokumentacji przetargowych, które minimalizować będą liczbę protestów i odwołań.</w:t>
            </w:r>
          </w:p>
          <w:p w14:paraId="0792974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Zrealizowanie kluczowych postępowań przetargowych – ryzyko zamknięte. </w:t>
            </w:r>
          </w:p>
        </w:tc>
      </w:tr>
      <w:tr w:rsidR="00E70E2A" w:rsidRPr="00C1193B" w14:paraId="53491CE8" w14:textId="77777777" w:rsidTr="005F6A47">
        <w:tc>
          <w:tcPr>
            <w:tcW w:w="2268" w:type="dxa"/>
          </w:tcPr>
          <w:p w14:paraId="1B79E11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Unieważnienie przetargu na hosting </w:t>
            </w:r>
          </w:p>
        </w:tc>
        <w:tc>
          <w:tcPr>
            <w:tcW w:w="1418" w:type="dxa"/>
          </w:tcPr>
          <w:p w14:paraId="2DBBF6CF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1EF82E6E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ysokie</w:t>
            </w:r>
          </w:p>
        </w:tc>
        <w:tc>
          <w:tcPr>
            <w:tcW w:w="3686" w:type="dxa"/>
          </w:tcPr>
          <w:p w14:paraId="3219F38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14:paraId="28A0330C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 umowy i podpisanie umowy z wybranym Wykonawcą</w:t>
            </w:r>
          </w:p>
          <w:p w14:paraId="24D3254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Podpisanie umowy z Wykonawcą – ryzyko zamknięte.</w:t>
            </w:r>
          </w:p>
        </w:tc>
      </w:tr>
      <w:tr w:rsidR="00E70E2A" w:rsidRPr="00C1193B" w14:paraId="124112EF" w14:textId="77777777" w:rsidTr="005F6A47">
        <w:tc>
          <w:tcPr>
            <w:tcW w:w="2268" w:type="dxa"/>
          </w:tcPr>
          <w:p w14:paraId="36E6D882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ealizacja zmian wymaganych w wyniku audytów UX, WCAG, bezpieczeństwa dłuższa niż zakładana</w:t>
            </w:r>
          </w:p>
        </w:tc>
        <w:tc>
          <w:tcPr>
            <w:tcW w:w="1418" w:type="dxa"/>
          </w:tcPr>
          <w:p w14:paraId="510CC01A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14:paraId="71328D38" w14:textId="77777777"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B608D23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Wykonywanie okresowych testów i przeglądów podczas prac programistycznych</w:t>
            </w:r>
          </w:p>
          <w:p w14:paraId="021351DC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Pełna gotowość na przeprowadzenie audytów i wprowadzanie zmian z nich wynikających. </w:t>
            </w:r>
          </w:p>
          <w:p w14:paraId="3A3805BE" w14:textId="432E54CA" w:rsidR="00E70E2A" w:rsidRPr="00C1193B" w:rsidRDefault="00E70E2A" w:rsidP="003617CB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3A7CF1">
              <w:rPr>
                <w:rFonts w:ascii="Arial" w:hAnsi="Arial" w:cs="Arial"/>
                <w:color w:val="000000"/>
                <w:sz w:val="18"/>
                <w:szCs w:val="18"/>
              </w:rPr>
              <w:t>Wdrożenie zalecanych zmian wynikających z przeprowadzonych audytów – ryzyko zamknięte</w:t>
            </w:r>
          </w:p>
        </w:tc>
      </w:tr>
      <w:tr w:rsidR="00E70E2A" w:rsidRPr="00C1193B" w14:paraId="20316889" w14:textId="77777777" w:rsidTr="005F6A47">
        <w:tc>
          <w:tcPr>
            <w:tcW w:w="2268" w:type="dxa"/>
          </w:tcPr>
          <w:p w14:paraId="65801B30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418" w:type="dxa"/>
          </w:tcPr>
          <w:p w14:paraId="7E9FDB6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B0C586" w14:textId="77777777"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79968E0D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14:paraId="1FD489E7" w14:textId="77777777"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37BB1C17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95FE0" w:rsidRPr="00C1193B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</w:p>
        </w:tc>
      </w:tr>
      <w:tr w:rsidR="00A130D0" w:rsidRPr="00C1193B" w14:paraId="154A4A95" w14:textId="77777777" w:rsidTr="005F6A47">
        <w:tc>
          <w:tcPr>
            <w:tcW w:w="2268" w:type="dxa"/>
          </w:tcPr>
          <w:p w14:paraId="228422DE" w14:textId="6377AB76" w:rsidR="00A130D0" w:rsidRPr="004523EA" w:rsidRDefault="00A130D0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Organizacja konferencji podsumowującej - </w:t>
            </w:r>
            <w:r w:rsidR="003A7CF1" w:rsidRPr="00A130D0">
              <w:rPr>
                <w:rFonts w:ascii="Arial" w:hAnsi="Arial" w:cs="Arial"/>
                <w:color w:val="000000"/>
                <w:sz w:val="18"/>
                <w:szCs w:val="18"/>
              </w:rPr>
              <w:t>przedłużający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 się proces procedury przetargowej w tym późny wybór Wykonawcy uniemożliwiający organizację konferencji w planowanym terminie.</w:t>
            </w:r>
          </w:p>
        </w:tc>
        <w:tc>
          <w:tcPr>
            <w:tcW w:w="1418" w:type="dxa"/>
          </w:tcPr>
          <w:p w14:paraId="423A62FC" w14:textId="77777777" w:rsidR="00A130D0" w:rsidRDefault="00A130D0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4F42A33" w14:textId="77777777" w:rsidR="00A130D0" w:rsidRDefault="00A130D0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603B966" w14:textId="77777777" w:rsidR="00A130D0" w:rsidRPr="00C1193B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Precyzyjne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zapisy S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, ścisła współpraca z zespołem </w:t>
            </w:r>
            <w:r w:rsidR="00495FE0" w:rsidRPr="00A130D0">
              <w:rPr>
                <w:rFonts w:ascii="Arial" w:hAnsi="Arial" w:cs="Arial"/>
                <w:color w:val="000000"/>
                <w:sz w:val="18"/>
                <w:szCs w:val="18"/>
              </w:rPr>
              <w:t>zamówień</w:t>
            </w:r>
            <w:r w:rsidRPr="00A130D0">
              <w:rPr>
                <w:rFonts w:ascii="Arial" w:hAnsi="Arial" w:cs="Arial"/>
                <w:color w:val="000000"/>
                <w:sz w:val="18"/>
                <w:szCs w:val="18"/>
              </w:rPr>
              <w:t xml:space="preserve"> publicznych</w:t>
            </w:r>
          </w:p>
          <w:p w14:paraId="47EC53D9" w14:textId="77777777" w:rsidR="00A130D0" w:rsidRDefault="00A130D0" w:rsidP="00A130D0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</w:t>
            </w:r>
            <w:r w:rsidR="00495FE0">
              <w:rPr>
                <w:rFonts w:ascii="Arial" w:hAnsi="Arial" w:cs="Arial"/>
                <w:color w:val="000000"/>
                <w:sz w:val="18"/>
                <w:szCs w:val="18"/>
              </w:rPr>
              <w:t xml:space="preserve"> maksymalne skrócenie czasu na przygotowanie i ogłoszenie przetargu w tym końcowy wybór Wykonawcy.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984D9" w14:textId="00F9C528" w:rsidR="00A130D0" w:rsidRPr="00C1193B" w:rsidRDefault="00A130D0" w:rsidP="003617CB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3A7CF1">
              <w:rPr>
                <w:rFonts w:ascii="Arial" w:hAnsi="Arial" w:cs="Arial"/>
                <w:color w:val="000000"/>
                <w:sz w:val="18"/>
                <w:szCs w:val="18"/>
              </w:rPr>
              <w:t>terminowe wyłonienie wykonawcy w ramach przetargu i podpisanie umowy na organizację konferencjo – ryzyko zamknięte</w:t>
            </w:r>
          </w:p>
        </w:tc>
      </w:tr>
    </w:tbl>
    <w:p w14:paraId="5E1BF01F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0D7C5BA" w14:textId="77777777"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14:paraId="3FEF15E5" w14:textId="77777777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20C96310" w14:textId="77777777"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8EA2544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9A49457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39DBCA5D" w14:textId="77777777"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14:paraId="4F433DE8" w14:textId="77777777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27D04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EF935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5B3AED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05350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Precyzyjne określenie zakresu projektu we współpracy z kluczowymi interesariuszami, podpisywanie listów intencyjnych z interesariuszami.</w:t>
            </w:r>
          </w:p>
          <w:p w14:paraId="74B90D42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14:paraId="7A3E9E13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14:paraId="371D3AF8" w14:textId="77777777" w:rsidTr="005F6A47">
        <w:trPr>
          <w:trHeight w:val="724"/>
        </w:trPr>
        <w:tc>
          <w:tcPr>
            <w:tcW w:w="3261" w:type="dxa"/>
            <w:shd w:val="clear" w:color="auto" w:fill="auto"/>
          </w:tcPr>
          <w:p w14:paraId="61AAC29F" w14:textId="77777777"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6EF949B1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C8CF5C6" w14:textId="77777777"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14:paraId="76BD8B1D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14:paraId="608EBDD0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5F14AC27" w14:textId="77777777"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14:paraId="776C1E06" w14:textId="77777777"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t>Wymiarowanie systemu informatycznego</w:t>
      </w:r>
    </w:p>
    <w:p w14:paraId="09C8B588" w14:textId="77777777"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14:paraId="73E8E4DD" w14:textId="77777777"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14:paraId="48A0F6E8" w14:textId="77777777"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14:paraId="622D0F9A" w14:textId="77777777" w:rsidR="00E6246F" w:rsidRDefault="00C26F81"/>
    <w:sectPr w:rsidR="00E6246F" w:rsidSect="007E348B">
      <w:footerReference w:type="default" r:id="rId8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87210C" w14:textId="77777777" w:rsidR="00E50A81" w:rsidRDefault="00E50A81" w:rsidP="00E70E2A">
      <w:pPr>
        <w:spacing w:after="0" w:line="240" w:lineRule="auto"/>
      </w:pPr>
      <w:r>
        <w:separator/>
      </w:r>
    </w:p>
  </w:endnote>
  <w:endnote w:type="continuationSeparator" w:id="0">
    <w:p w14:paraId="3AFD7835" w14:textId="77777777" w:rsidR="00E50A81" w:rsidRDefault="00E50A81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7BE094" w14:textId="77777777"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6F81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77635146" w14:textId="77777777" w:rsidR="002B6F21" w:rsidRDefault="00C26F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B5CE6" w14:textId="77777777" w:rsidR="00E50A81" w:rsidRDefault="00E50A81" w:rsidP="00E70E2A">
      <w:pPr>
        <w:spacing w:after="0" w:line="240" w:lineRule="auto"/>
      </w:pPr>
      <w:r>
        <w:separator/>
      </w:r>
    </w:p>
  </w:footnote>
  <w:footnote w:type="continuationSeparator" w:id="0">
    <w:p w14:paraId="1B32BF82" w14:textId="77777777" w:rsidR="00E50A81" w:rsidRDefault="00E50A81" w:rsidP="00E70E2A">
      <w:pPr>
        <w:spacing w:after="0" w:line="240" w:lineRule="auto"/>
      </w:pPr>
      <w:r>
        <w:continuationSeparator/>
      </w:r>
    </w:p>
  </w:footnote>
  <w:footnote w:id="1">
    <w:p w14:paraId="18E9D772" w14:textId="77777777"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31587B60"/>
    <w:lvl w:ilvl="0" w:tplc="6EA66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3661C"/>
    <w:rsid w:val="00066B1E"/>
    <w:rsid w:val="000A50DB"/>
    <w:rsid w:val="000F3A85"/>
    <w:rsid w:val="00155140"/>
    <w:rsid w:val="001B6BEA"/>
    <w:rsid w:val="001C0ED5"/>
    <w:rsid w:val="001D0839"/>
    <w:rsid w:val="001D3E26"/>
    <w:rsid w:val="001D759E"/>
    <w:rsid w:val="001E3070"/>
    <w:rsid w:val="00264BE8"/>
    <w:rsid w:val="002D40BC"/>
    <w:rsid w:val="00311156"/>
    <w:rsid w:val="00317097"/>
    <w:rsid w:val="00333472"/>
    <w:rsid w:val="003617CB"/>
    <w:rsid w:val="003A7CF1"/>
    <w:rsid w:val="00495FE0"/>
    <w:rsid w:val="004E12E3"/>
    <w:rsid w:val="005C6C73"/>
    <w:rsid w:val="00654C1A"/>
    <w:rsid w:val="00685EAD"/>
    <w:rsid w:val="006B3159"/>
    <w:rsid w:val="006E7DA1"/>
    <w:rsid w:val="006F32F4"/>
    <w:rsid w:val="00780C2E"/>
    <w:rsid w:val="007830D9"/>
    <w:rsid w:val="007E2F88"/>
    <w:rsid w:val="008039E3"/>
    <w:rsid w:val="008A6C33"/>
    <w:rsid w:val="008D01A1"/>
    <w:rsid w:val="00943600"/>
    <w:rsid w:val="009C0459"/>
    <w:rsid w:val="009D3295"/>
    <w:rsid w:val="009E41FD"/>
    <w:rsid w:val="00A130D0"/>
    <w:rsid w:val="00A37414"/>
    <w:rsid w:val="00BD2A0E"/>
    <w:rsid w:val="00BE0D91"/>
    <w:rsid w:val="00BF0F4E"/>
    <w:rsid w:val="00BF5C1C"/>
    <w:rsid w:val="00C26F81"/>
    <w:rsid w:val="00C7333D"/>
    <w:rsid w:val="00C73A90"/>
    <w:rsid w:val="00CB3C26"/>
    <w:rsid w:val="00CB4D0A"/>
    <w:rsid w:val="00CD6B71"/>
    <w:rsid w:val="00D42F76"/>
    <w:rsid w:val="00D4496A"/>
    <w:rsid w:val="00D47A31"/>
    <w:rsid w:val="00D516B1"/>
    <w:rsid w:val="00DE6812"/>
    <w:rsid w:val="00E00AD5"/>
    <w:rsid w:val="00E021D5"/>
    <w:rsid w:val="00E50A81"/>
    <w:rsid w:val="00E70E2A"/>
    <w:rsid w:val="00E862D2"/>
    <w:rsid w:val="00EB222C"/>
    <w:rsid w:val="00EB3863"/>
    <w:rsid w:val="00EB5599"/>
    <w:rsid w:val="00EB7775"/>
    <w:rsid w:val="00F85FE2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2CCEE3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E8"/>
  </w:style>
  <w:style w:type="character" w:styleId="Odwoaniedokomentarza">
    <w:name w:val="annotation reference"/>
    <w:basedOn w:val="Domylnaczcionkaakapitu"/>
    <w:uiPriority w:val="99"/>
    <w:semiHidden/>
    <w:unhideWhenUsed/>
    <w:rsid w:val="00BD2A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2A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2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A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A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7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BDA6B-C7E1-40A4-A5E3-F58B45595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1590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Turek Łukasz</cp:lastModifiedBy>
  <cp:revision>5</cp:revision>
  <dcterms:created xsi:type="dcterms:W3CDTF">2022-04-13T07:34:00Z</dcterms:created>
  <dcterms:modified xsi:type="dcterms:W3CDTF">2022-04-13T10:18:00Z</dcterms:modified>
</cp:coreProperties>
</file>